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349" w:rsidRPr="00BD7349" w:rsidRDefault="00BD7349" w:rsidP="00BD7349">
      <w:pPr>
        <w:spacing w:after="0"/>
        <w:jc w:val="center"/>
        <w:rPr>
          <w:rFonts w:eastAsia="Calibri" w:cs="Times New Roman"/>
          <w:b/>
          <w:sz w:val="28"/>
          <w:szCs w:val="24"/>
        </w:rPr>
      </w:pPr>
      <w:r w:rsidRPr="00BD7349">
        <w:rPr>
          <w:rFonts w:eastAsia="Calibri" w:cs="Times New Roman"/>
          <w:b/>
          <w:sz w:val="28"/>
          <w:szCs w:val="24"/>
        </w:rPr>
        <w:t>MASTER EN PROTECCION VEGETAL – LA PLATA 2016</w:t>
      </w:r>
    </w:p>
    <w:p w:rsidR="00BD7349" w:rsidRPr="00BD7349" w:rsidRDefault="00BD7349" w:rsidP="00BD7349">
      <w:pPr>
        <w:spacing w:after="0"/>
        <w:jc w:val="center"/>
        <w:rPr>
          <w:rFonts w:eastAsia="Calibri" w:cs="Times New Roman"/>
          <w:b/>
          <w:sz w:val="28"/>
          <w:szCs w:val="24"/>
        </w:rPr>
      </w:pPr>
    </w:p>
    <w:p w:rsidR="00BD7349" w:rsidRPr="00BD7349" w:rsidRDefault="00BD7349" w:rsidP="00BD7349">
      <w:pPr>
        <w:spacing w:after="0"/>
        <w:jc w:val="center"/>
        <w:rPr>
          <w:rFonts w:eastAsia="Calibri" w:cs="Times New Roman"/>
          <w:b/>
          <w:sz w:val="28"/>
          <w:szCs w:val="24"/>
        </w:rPr>
      </w:pPr>
      <w:r w:rsidRPr="00BD7349">
        <w:rPr>
          <w:rFonts w:eastAsia="Calibri" w:cs="Times New Roman"/>
          <w:b/>
          <w:sz w:val="28"/>
          <w:szCs w:val="24"/>
        </w:rPr>
        <w:t>MA</w:t>
      </w:r>
      <w:r>
        <w:rPr>
          <w:rFonts w:eastAsia="Calibri" w:cs="Times New Roman"/>
          <w:b/>
          <w:sz w:val="28"/>
          <w:szCs w:val="24"/>
        </w:rPr>
        <w:t>NEJO INTEGRADO DE ENFERMEDADES</w:t>
      </w:r>
    </w:p>
    <w:p w:rsidR="00BD7349" w:rsidRPr="00BD7349" w:rsidRDefault="00BD7349" w:rsidP="00BD7349">
      <w:pPr>
        <w:spacing w:after="0"/>
        <w:jc w:val="both"/>
        <w:rPr>
          <w:rFonts w:eastAsia="Calibri" w:cs="Times New Roman"/>
          <w:b/>
          <w:sz w:val="28"/>
          <w:szCs w:val="24"/>
        </w:rPr>
      </w:pPr>
      <w:r w:rsidRPr="00BD7349">
        <w:rPr>
          <w:rFonts w:eastAsia="Calibri" w:cs="Times New Roman"/>
          <w:b/>
          <w:sz w:val="28"/>
          <w:szCs w:val="24"/>
        </w:rPr>
        <w:t xml:space="preserve">Responsables: Antonio </w:t>
      </w:r>
      <w:proofErr w:type="spellStart"/>
      <w:r w:rsidRPr="00BD7349">
        <w:rPr>
          <w:rFonts w:eastAsia="Calibri" w:cs="Times New Roman"/>
          <w:b/>
          <w:sz w:val="28"/>
          <w:szCs w:val="24"/>
        </w:rPr>
        <w:t>Ivancovich</w:t>
      </w:r>
      <w:proofErr w:type="spellEnd"/>
      <w:r w:rsidRPr="00BD7349">
        <w:rPr>
          <w:rFonts w:eastAsia="Calibri" w:cs="Times New Roman"/>
          <w:b/>
          <w:sz w:val="28"/>
          <w:szCs w:val="24"/>
        </w:rPr>
        <w:t xml:space="preserve"> (INTA Pergamino-UNNOBA) y Miguel Lavilla (UNNOBA)</w:t>
      </w:r>
    </w:p>
    <w:p w:rsidR="00BD7349" w:rsidRPr="00BD7349" w:rsidRDefault="00BD7349" w:rsidP="00BD7349">
      <w:pPr>
        <w:spacing w:after="0"/>
        <w:jc w:val="both"/>
        <w:rPr>
          <w:rFonts w:eastAsia="Calibri" w:cs="Times New Roman"/>
          <w:b/>
          <w:sz w:val="28"/>
          <w:szCs w:val="24"/>
        </w:rPr>
      </w:pPr>
    </w:p>
    <w:p w:rsidR="00BD7349" w:rsidRDefault="00BD7349" w:rsidP="00BD7349">
      <w:pPr>
        <w:spacing w:after="0"/>
        <w:jc w:val="both"/>
        <w:rPr>
          <w:rFonts w:eastAsia="Calibri" w:cs="Times New Roman"/>
          <w:b/>
          <w:sz w:val="28"/>
          <w:szCs w:val="24"/>
        </w:rPr>
      </w:pPr>
      <w:r w:rsidRPr="00BD7349">
        <w:rPr>
          <w:rFonts w:eastAsia="Calibri" w:cs="Times New Roman"/>
          <w:b/>
          <w:sz w:val="28"/>
          <w:szCs w:val="24"/>
        </w:rPr>
        <w:t>25de Noviembre de 2016</w:t>
      </w:r>
    </w:p>
    <w:p w:rsidR="00BD7349" w:rsidRDefault="00BD7349" w:rsidP="003901B8">
      <w:pPr>
        <w:spacing w:after="0"/>
        <w:jc w:val="both"/>
        <w:rPr>
          <w:rFonts w:eastAsia="Calibri" w:cs="Times New Roman"/>
          <w:b/>
          <w:sz w:val="28"/>
          <w:szCs w:val="24"/>
        </w:rPr>
      </w:pPr>
    </w:p>
    <w:p w:rsidR="003901B8" w:rsidRDefault="003901B8" w:rsidP="003901B8">
      <w:pPr>
        <w:spacing w:after="0"/>
        <w:jc w:val="both"/>
        <w:rPr>
          <w:rFonts w:eastAsia="Calibri" w:cs="Times New Roman"/>
          <w:b/>
          <w:sz w:val="28"/>
          <w:szCs w:val="24"/>
        </w:rPr>
      </w:pPr>
      <w:r w:rsidRPr="00DB3B2F">
        <w:rPr>
          <w:rFonts w:eastAsia="Calibri" w:cs="Times New Roman"/>
          <w:b/>
          <w:sz w:val="28"/>
          <w:szCs w:val="24"/>
        </w:rPr>
        <w:t>PATOMETRÍA.</w:t>
      </w:r>
      <w:r w:rsidRPr="00DB3B2F">
        <w:rPr>
          <w:b/>
          <w:sz w:val="24"/>
        </w:rPr>
        <w:t xml:space="preserve"> </w:t>
      </w:r>
      <w:r w:rsidRPr="00DB3B2F">
        <w:rPr>
          <w:rFonts w:eastAsia="Calibri" w:cs="Times New Roman"/>
          <w:b/>
          <w:sz w:val="28"/>
          <w:szCs w:val="24"/>
        </w:rPr>
        <w:t>ESTUDIOS DE ESCALAS DIAGRAMÁTICAS DE SEVERIDAD E INCIDENCIA.</w:t>
      </w:r>
    </w:p>
    <w:p w:rsidR="003901B8" w:rsidRPr="00DB3B2F" w:rsidRDefault="003901B8" w:rsidP="003901B8">
      <w:pPr>
        <w:spacing w:after="0"/>
        <w:jc w:val="both"/>
        <w:rPr>
          <w:rFonts w:eastAsia="Calibri" w:cs="Times New Roman"/>
          <w:sz w:val="24"/>
          <w:szCs w:val="24"/>
        </w:rPr>
      </w:pPr>
    </w:p>
    <w:p w:rsidR="003901B8" w:rsidRDefault="003901B8" w:rsidP="003901B8">
      <w:pPr>
        <w:spacing w:after="0"/>
        <w:jc w:val="both"/>
        <w:rPr>
          <w:rFonts w:eastAsia="Calibri" w:cs="Times New Roman"/>
          <w:sz w:val="24"/>
          <w:szCs w:val="32"/>
        </w:rPr>
      </w:pPr>
      <w:r>
        <w:rPr>
          <w:rFonts w:eastAsia="Calibri" w:cs="Times New Roman"/>
          <w:sz w:val="24"/>
          <w:szCs w:val="32"/>
        </w:rPr>
        <w:tab/>
      </w:r>
      <w:r w:rsidRPr="00530BA7">
        <w:rPr>
          <w:rFonts w:eastAsia="Calibri" w:cs="Times New Roman"/>
          <w:b/>
          <w:sz w:val="24"/>
          <w:szCs w:val="32"/>
        </w:rPr>
        <w:t>PATOMETRÍA</w:t>
      </w:r>
      <w:r>
        <w:rPr>
          <w:rFonts w:eastAsia="Calibri" w:cs="Times New Roman"/>
          <w:sz w:val="24"/>
          <w:szCs w:val="32"/>
        </w:rPr>
        <w:t xml:space="preserve">: </w:t>
      </w:r>
      <w:r w:rsidRPr="00DB3B2F">
        <w:rPr>
          <w:rFonts w:eastAsia="Calibri" w:cs="Times New Roman"/>
          <w:sz w:val="24"/>
          <w:szCs w:val="32"/>
        </w:rPr>
        <w:t>Es la estimación cuantitativa de la enfermedad en el cultivo o el proceso de medición cuantitativa de las enfermedades.</w:t>
      </w:r>
    </w:p>
    <w:p w:rsidR="003901B8" w:rsidRDefault="003901B8" w:rsidP="003901B8">
      <w:pPr>
        <w:spacing w:after="0"/>
        <w:jc w:val="both"/>
        <w:rPr>
          <w:rFonts w:eastAsia="Calibri" w:cs="Times New Roman"/>
          <w:sz w:val="24"/>
          <w:szCs w:val="32"/>
        </w:rPr>
      </w:pPr>
    </w:p>
    <w:p w:rsidR="003901B8" w:rsidRDefault="003901B8" w:rsidP="003901B8">
      <w:pPr>
        <w:spacing w:after="0"/>
        <w:jc w:val="both"/>
        <w:rPr>
          <w:rFonts w:eastAsia="Calibri" w:cs="Times New Roman"/>
          <w:sz w:val="24"/>
          <w:szCs w:val="32"/>
        </w:rPr>
      </w:pPr>
      <w:r>
        <w:rPr>
          <w:rFonts w:eastAsia="Calibri" w:cs="Times New Roman"/>
          <w:sz w:val="24"/>
          <w:szCs w:val="32"/>
        </w:rPr>
        <w:tab/>
      </w:r>
      <w:r w:rsidRPr="00530BA7">
        <w:rPr>
          <w:rFonts w:eastAsia="Calibri" w:cs="Times New Roman"/>
          <w:b/>
          <w:sz w:val="24"/>
          <w:szCs w:val="32"/>
        </w:rPr>
        <w:t>IMPORTANCIA DE MEDIR LAS ENFERMEDADES EN LAS PLANTAS</w:t>
      </w:r>
      <w:r>
        <w:rPr>
          <w:rFonts w:eastAsia="Calibri" w:cs="Times New Roman"/>
          <w:sz w:val="24"/>
          <w:szCs w:val="32"/>
        </w:rPr>
        <w:t>: La principal razón para medir las enfermedades es la de obtener datos cuantitativos de la presencia y desarrollo de este tipo de problemas fitosanitarios.</w:t>
      </w:r>
    </w:p>
    <w:p w:rsidR="003901B8" w:rsidRDefault="003901B8" w:rsidP="003901B8">
      <w:pPr>
        <w:spacing w:after="0"/>
        <w:jc w:val="both"/>
        <w:rPr>
          <w:rFonts w:eastAsia="Calibri" w:cs="Times New Roman"/>
          <w:sz w:val="24"/>
          <w:szCs w:val="32"/>
        </w:rPr>
      </w:pPr>
      <w:r>
        <w:rPr>
          <w:rFonts w:eastAsia="Calibri" w:cs="Times New Roman"/>
          <w:sz w:val="24"/>
          <w:szCs w:val="32"/>
        </w:rPr>
        <w:tab/>
        <w:t>Conocer la intensidad y prevalencia de una enfermedad es el primer paso para comprender la relación entre enfermedad y pérdida. Solamente midiendo la enfermedad se puede demostrar la magnitud de la pérdida.</w:t>
      </w:r>
    </w:p>
    <w:p w:rsidR="00530BA7" w:rsidRPr="00162F58" w:rsidRDefault="00162F58" w:rsidP="003901B8">
      <w:pPr>
        <w:spacing w:after="0"/>
        <w:jc w:val="both"/>
        <w:rPr>
          <w:rFonts w:eastAsia="Calibri" w:cs="Times New Roman"/>
          <w:sz w:val="24"/>
          <w:szCs w:val="32"/>
        </w:rPr>
      </w:pPr>
      <w:r>
        <w:rPr>
          <w:rFonts w:eastAsia="Calibri" w:cs="Times New Roman"/>
          <w:sz w:val="24"/>
          <w:szCs w:val="32"/>
        </w:rPr>
        <w:tab/>
      </w:r>
      <w:r w:rsidR="00530BA7" w:rsidRPr="00162F58">
        <w:rPr>
          <w:rFonts w:eastAsia="Calibri" w:cs="Times New Roman"/>
          <w:sz w:val="24"/>
          <w:szCs w:val="32"/>
        </w:rPr>
        <w:t xml:space="preserve">La importancia de una enfermedad está determinada por </w:t>
      </w:r>
      <w:r w:rsidR="004119AB" w:rsidRPr="00162F58">
        <w:rPr>
          <w:rFonts w:eastAsia="Calibri" w:cs="Times New Roman"/>
          <w:sz w:val="24"/>
          <w:szCs w:val="32"/>
        </w:rPr>
        <w:t>su</w:t>
      </w:r>
      <w:r w:rsidR="00530BA7" w:rsidRPr="00162F58">
        <w:rPr>
          <w:rFonts w:eastAsia="Calibri" w:cs="Times New Roman"/>
          <w:sz w:val="24"/>
          <w:szCs w:val="32"/>
        </w:rPr>
        <w:t xml:space="preserve"> DIFUSION (prevalencia) y </w:t>
      </w:r>
      <w:r w:rsidR="004119AB" w:rsidRPr="00162F58">
        <w:rPr>
          <w:rFonts w:eastAsia="Calibri" w:cs="Times New Roman"/>
          <w:sz w:val="24"/>
          <w:szCs w:val="32"/>
        </w:rPr>
        <w:t>el DAÑO/PERDIDA que le causa al hospedante. Solamente cuando se combinan ambos factores podemos decir que una enfermedad es IMPORTANTE.</w:t>
      </w:r>
    </w:p>
    <w:p w:rsidR="003901B8" w:rsidRDefault="003901B8" w:rsidP="003901B8">
      <w:pPr>
        <w:spacing w:after="0"/>
        <w:jc w:val="both"/>
        <w:rPr>
          <w:rFonts w:eastAsia="Calibri" w:cs="Times New Roman"/>
          <w:sz w:val="24"/>
          <w:szCs w:val="32"/>
        </w:rPr>
      </w:pPr>
    </w:p>
    <w:p w:rsidR="003901B8" w:rsidRDefault="003901B8" w:rsidP="003901B8">
      <w:pPr>
        <w:spacing w:after="0"/>
        <w:jc w:val="both"/>
        <w:rPr>
          <w:rFonts w:eastAsia="Calibri" w:cs="Times New Roman"/>
          <w:sz w:val="24"/>
          <w:szCs w:val="32"/>
        </w:rPr>
      </w:pPr>
      <w:r>
        <w:rPr>
          <w:rFonts w:eastAsia="Calibri" w:cs="Times New Roman"/>
          <w:sz w:val="24"/>
          <w:szCs w:val="32"/>
        </w:rPr>
        <w:tab/>
      </w:r>
      <w:r w:rsidRPr="00530BA7">
        <w:rPr>
          <w:rFonts w:eastAsia="Calibri" w:cs="Times New Roman"/>
          <w:b/>
          <w:sz w:val="24"/>
          <w:szCs w:val="32"/>
        </w:rPr>
        <w:t>APLICACIONES DE LA PATOMETRÍA</w:t>
      </w:r>
      <w:r>
        <w:rPr>
          <w:rFonts w:eastAsia="Calibri" w:cs="Times New Roman"/>
          <w:sz w:val="24"/>
          <w:szCs w:val="32"/>
        </w:rPr>
        <w:t>: Decidir prioridades en investigación, extensión, búsqueda de resistencia genética, evaluación de agroquímicos y para estudios epidemiológicos.</w:t>
      </w:r>
    </w:p>
    <w:p w:rsidR="003901B8" w:rsidRDefault="003901B8" w:rsidP="003901B8">
      <w:pPr>
        <w:spacing w:after="0"/>
        <w:jc w:val="both"/>
        <w:rPr>
          <w:rFonts w:eastAsia="Calibri" w:cs="Times New Roman"/>
          <w:sz w:val="24"/>
          <w:szCs w:val="32"/>
        </w:rPr>
      </w:pPr>
    </w:p>
    <w:p w:rsidR="003901B8" w:rsidRPr="00530BA7" w:rsidRDefault="003901B8" w:rsidP="003901B8">
      <w:pPr>
        <w:spacing w:after="0"/>
        <w:jc w:val="both"/>
        <w:rPr>
          <w:rFonts w:eastAsia="Calibri" w:cs="Times New Roman"/>
          <w:b/>
          <w:sz w:val="24"/>
          <w:szCs w:val="32"/>
        </w:rPr>
      </w:pPr>
      <w:r w:rsidRPr="00530BA7">
        <w:rPr>
          <w:rFonts w:eastAsia="Calibri" w:cs="Times New Roman"/>
          <w:b/>
          <w:sz w:val="24"/>
          <w:szCs w:val="32"/>
        </w:rPr>
        <w:t>PARAMETROS PARA LA MEDICIÓN DE ENFERMEDADES:</w:t>
      </w:r>
    </w:p>
    <w:p w:rsidR="003901B8" w:rsidRDefault="003901B8" w:rsidP="003901B8">
      <w:pPr>
        <w:spacing w:after="0"/>
        <w:jc w:val="both"/>
        <w:rPr>
          <w:rFonts w:eastAsia="Calibri" w:cs="Times New Roman"/>
          <w:sz w:val="24"/>
          <w:szCs w:val="32"/>
        </w:rPr>
      </w:pPr>
    </w:p>
    <w:p w:rsidR="00162F58" w:rsidRDefault="00162F58" w:rsidP="00162F58">
      <w:pPr>
        <w:spacing w:after="0"/>
        <w:jc w:val="both"/>
        <w:rPr>
          <w:rFonts w:eastAsia="Calibri" w:cs="Times New Roman"/>
          <w:sz w:val="24"/>
          <w:szCs w:val="32"/>
        </w:rPr>
      </w:pPr>
      <w:r w:rsidRPr="00530BA7">
        <w:rPr>
          <w:rFonts w:eastAsia="Calibri" w:cs="Times New Roman"/>
          <w:b/>
          <w:sz w:val="24"/>
          <w:szCs w:val="32"/>
        </w:rPr>
        <w:t>PREVALENCIA</w:t>
      </w:r>
      <w:r>
        <w:rPr>
          <w:rFonts w:eastAsia="Calibri" w:cs="Times New Roman"/>
          <w:sz w:val="24"/>
          <w:szCs w:val="32"/>
        </w:rPr>
        <w:t xml:space="preserve"> Se refiere a la incidencia </w:t>
      </w:r>
      <w:r w:rsidRPr="004F7EB7">
        <w:rPr>
          <w:rFonts w:eastAsia="Calibri" w:cs="Times New Roman"/>
          <w:sz w:val="24"/>
          <w:szCs w:val="32"/>
        </w:rPr>
        <w:t xml:space="preserve">de la patología en un área geográfica determinada. Por </w:t>
      </w:r>
      <w:proofErr w:type="spellStart"/>
      <w:r w:rsidRPr="004F7EB7">
        <w:rPr>
          <w:rFonts w:eastAsia="Calibri" w:cs="Times New Roman"/>
          <w:sz w:val="24"/>
          <w:szCs w:val="32"/>
        </w:rPr>
        <w:t>ej</w:t>
      </w:r>
      <w:proofErr w:type="spellEnd"/>
      <w:r w:rsidRPr="004F7EB7">
        <w:rPr>
          <w:rFonts w:eastAsia="Calibri" w:cs="Times New Roman"/>
          <w:sz w:val="24"/>
          <w:szCs w:val="32"/>
        </w:rPr>
        <w:t xml:space="preserve">: 6 de 10 </w:t>
      </w:r>
      <w:r>
        <w:rPr>
          <w:rFonts w:eastAsia="Calibri" w:cs="Times New Roman"/>
          <w:sz w:val="24"/>
          <w:szCs w:val="32"/>
        </w:rPr>
        <w:t>lotes evaluados</w:t>
      </w:r>
      <w:r w:rsidRPr="004F7EB7">
        <w:rPr>
          <w:rFonts w:eastAsia="Calibri" w:cs="Times New Roman"/>
          <w:sz w:val="24"/>
          <w:szCs w:val="32"/>
        </w:rPr>
        <w:t xml:space="preserve"> en una zona presentaron la enfermedad. Por consiguiente, la prevalencia en esa área será de un 60 %.</w:t>
      </w:r>
      <w:r>
        <w:rPr>
          <w:rFonts w:eastAsia="Calibri" w:cs="Times New Roman"/>
          <w:sz w:val="24"/>
          <w:szCs w:val="32"/>
        </w:rPr>
        <w:t xml:space="preserve"> Nos da una idea de la difusión de una enfermedad en una región determinada.</w:t>
      </w:r>
    </w:p>
    <w:p w:rsidR="00162F58" w:rsidRDefault="00162F58" w:rsidP="00162F58">
      <w:pPr>
        <w:spacing w:after="0"/>
        <w:jc w:val="both"/>
        <w:rPr>
          <w:rFonts w:eastAsia="Calibri" w:cs="Times New Roman"/>
          <w:sz w:val="24"/>
          <w:szCs w:val="32"/>
        </w:rPr>
      </w:pPr>
    </w:p>
    <w:p w:rsidR="00162F58" w:rsidRDefault="00162F58" w:rsidP="00162F58">
      <w:pPr>
        <w:spacing w:after="0"/>
        <w:jc w:val="center"/>
        <w:rPr>
          <w:rFonts w:eastAsia="Calibri" w:cs="Times New Roman"/>
          <w:sz w:val="24"/>
          <w:szCs w:val="32"/>
        </w:rPr>
      </w:pPr>
      <w:r w:rsidRPr="00A01663">
        <w:rPr>
          <w:rFonts w:eastAsia="Calibri" w:cs="Times New Roman"/>
          <w:b/>
          <w:sz w:val="24"/>
          <w:szCs w:val="32"/>
        </w:rPr>
        <w:t>PREVALENCIA:</w:t>
      </w:r>
      <w:r>
        <w:rPr>
          <w:rFonts w:eastAsia="Calibri" w:cs="Times New Roman"/>
          <w:sz w:val="24"/>
          <w:szCs w:val="32"/>
        </w:rPr>
        <w:t xml:space="preserve"> </w:t>
      </w:r>
      <w:r w:rsidRPr="0037192F">
        <w:rPr>
          <w:rFonts w:eastAsia="Calibri" w:cs="Times New Roman"/>
          <w:sz w:val="24"/>
          <w:szCs w:val="32"/>
        </w:rPr>
        <w:t>lotes con síntomas (LCS) dividido por el total de lotes evaluados (LT) por región multiplicado por 100 (</w:t>
      </w:r>
      <w:r>
        <w:rPr>
          <w:rFonts w:eastAsia="Calibri" w:cs="Times New Roman"/>
          <w:sz w:val="24"/>
          <w:szCs w:val="32"/>
        </w:rPr>
        <w:t xml:space="preserve">P: </w:t>
      </w:r>
      <w:r w:rsidRPr="0037192F">
        <w:rPr>
          <w:rFonts w:eastAsia="Calibri" w:cs="Times New Roman"/>
          <w:sz w:val="24"/>
          <w:szCs w:val="32"/>
        </w:rPr>
        <w:t>[LCS/LT]*100).</w:t>
      </w:r>
    </w:p>
    <w:p w:rsidR="00162F58" w:rsidRDefault="00162F58" w:rsidP="00162F58">
      <w:pPr>
        <w:spacing w:after="0"/>
        <w:jc w:val="both"/>
        <w:rPr>
          <w:rFonts w:eastAsia="Calibri" w:cs="Times New Roman"/>
          <w:sz w:val="24"/>
          <w:szCs w:val="32"/>
        </w:rPr>
      </w:pPr>
    </w:p>
    <w:p w:rsidR="00162F58" w:rsidRDefault="00162F58" w:rsidP="00162F58">
      <w:pPr>
        <w:spacing w:after="0"/>
        <w:jc w:val="both"/>
        <w:rPr>
          <w:rFonts w:eastAsia="Calibri" w:cs="Times New Roman"/>
          <w:sz w:val="24"/>
          <w:szCs w:val="32"/>
        </w:rPr>
      </w:pPr>
      <w:r w:rsidRPr="00A01663">
        <w:rPr>
          <w:rFonts w:eastAsia="Calibri" w:cs="Times New Roman"/>
          <w:b/>
          <w:sz w:val="24"/>
          <w:szCs w:val="32"/>
        </w:rPr>
        <w:t>MEDICIÓN DE ENFERMEDADES:</w:t>
      </w:r>
      <w:r>
        <w:rPr>
          <w:rFonts w:eastAsia="Calibri" w:cs="Times New Roman"/>
          <w:sz w:val="24"/>
          <w:szCs w:val="32"/>
        </w:rPr>
        <w:t xml:space="preserve"> Los métodos utilizados para medir enfermedades son 1. Métodos directos y 2. Métodos indirectos.</w:t>
      </w:r>
    </w:p>
    <w:p w:rsidR="00162F58" w:rsidRDefault="00162F58" w:rsidP="00162F58">
      <w:pPr>
        <w:pStyle w:val="Prrafodelista"/>
        <w:numPr>
          <w:ilvl w:val="0"/>
          <w:numId w:val="2"/>
        </w:numPr>
        <w:spacing w:after="0"/>
        <w:jc w:val="both"/>
        <w:rPr>
          <w:rFonts w:eastAsia="Calibri" w:cs="Times New Roman"/>
          <w:sz w:val="24"/>
          <w:szCs w:val="32"/>
        </w:rPr>
      </w:pPr>
      <w:r>
        <w:rPr>
          <w:rFonts w:eastAsia="Calibri" w:cs="Times New Roman"/>
          <w:sz w:val="24"/>
          <w:szCs w:val="32"/>
        </w:rPr>
        <w:t xml:space="preserve">Métodos directos: comprende valoraciones visuales de las enfermedades, tomando como patrón estándares visuales. Pero su desventaja es que el método se basa en una valoración visual y por ende es subjetivo. </w:t>
      </w:r>
    </w:p>
    <w:p w:rsidR="00162F58" w:rsidRDefault="00162F58" w:rsidP="00162F58">
      <w:pPr>
        <w:pStyle w:val="Prrafodelista"/>
        <w:spacing w:after="0"/>
        <w:jc w:val="both"/>
        <w:rPr>
          <w:rFonts w:eastAsia="Calibri" w:cs="Times New Roman"/>
          <w:sz w:val="24"/>
          <w:szCs w:val="32"/>
        </w:rPr>
      </w:pPr>
      <w:r>
        <w:rPr>
          <w:rFonts w:eastAsia="Calibri" w:cs="Times New Roman"/>
          <w:sz w:val="24"/>
          <w:szCs w:val="32"/>
        </w:rPr>
        <w:t xml:space="preserve">Características de las escalas para la evaluación de enfermedades a campo: </w:t>
      </w:r>
    </w:p>
    <w:p w:rsidR="00162F58" w:rsidRDefault="00162F58" w:rsidP="00162F58">
      <w:pPr>
        <w:pStyle w:val="Prrafodelista"/>
        <w:spacing w:after="0"/>
        <w:jc w:val="both"/>
        <w:rPr>
          <w:rFonts w:eastAsia="Calibri" w:cs="Times New Roman"/>
          <w:sz w:val="24"/>
          <w:szCs w:val="32"/>
        </w:rPr>
      </w:pPr>
      <w:r>
        <w:rPr>
          <w:rFonts w:eastAsia="Calibri" w:cs="Times New Roman"/>
          <w:sz w:val="24"/>
          <w:szCs w:val="32"/>
        </w:rPr>
        <w:tab/>
        <w:t>a. Deben ser apropiadas y acoplarse a la enfermedad que debe evaluarse.</w:t>
      </w:r>
    </w:p>
    <w:p w:rsidR="00162F58" w:rsidRDefault="00162F58" w:rsidP="00162F58">
      <w:pPr>
        <w:pStyle w:val="Prrafodelista"/>
        <w:spacing w:after="0"/>
        <w:jc w:val="both"/>
        <w:rPr>
          <w:rFonts w:eastAsia="Calibri" w:cs="Times New Roman"/>
          <w:sz w:val="24"/>
          <w:szCs w:val="32"/>
        </w:rPr>
      </w:pPr>
      <w:r>
        <w:rPr>
          <w:rFonts w:eastAsia="Calibri" w:cs="Times New Roman"/>
          <w:sz w:val="24"/>
          <w:szCs w:val="32"/>
        </w:rPr>
        <w:tab/>
        <w:t>b. En el momento de medir una enfermedad con una escala también debe contemplarse: fecha de evaluación, condiciones ambientales, estado fenológico del cultivo, estandarizar el órgano a evaluar.</w:t>
      </w:r>
    </w:p>
    <w:p w:rsidR="00162F58" w:rsidRDefault="00162F58" w:rsidP="00162F58">
      <w:pPr>
        <w:pStyle w:val="Prrafodelista"/>
        <w:spacing w:after="0"/>
        <w:jc w:val="both"/>
        <w:rPr>
          <w:rFonts w:eastAsia="Calibri" w:cs="Times New Roman"/>
          <w:sz w:val="24"/>
          <w:szCs w:val="32"/>
        </w:rPr>
      </w:pPr>
      <w:r>
        <w:rPr>
          <w:rFonts w:eastAsia="Calibri" w:cs="Times New Roman"/>
          <w:sz w:val="24"/>
          <w:szCs w:val="32"/>
        </w:rPr>
        <w:tab/>
        <w:t>c. El método de evaluación debe ser reproducible, fácil y rápido de usar.</w:t>
      </w:r>
    </w:p>
    <w:p w:rsidR="00162F58" w:rsidRDefault="00162F58" w:rsidP="00162F58">
      <w:pPr>
        <w:pStyle w:val="Prrafodelista"/>
        <w:spacing w:after="0"/>
        <w:ind w:left="709"/>
        <w:jc w:val="both"/>
        <w:rPr>
          <w:rFonts w:eastAsia="Calibri" w:cs="Times New Roman"/>
          <w:sz w:val="24"/>
          <w:szCs w:val="32"/>
        </w:rPr>
      </w:pPr>
      <w:r>
        <w:rPr>
          <w:rFonts w:eastAsia="Calibri" w:cs="Times New Roman"/>
          <w:sz w:val="24"/>
          <w:szCs w:val="32"/>
        </w:rPr>
        <w:t xml:space="preserve">Tipos de métodos directos: </w:t>
      </w:r>
    </w:p>
    <w:p w:rsidR="00162F58" w:rsidRPr="00FE2F4E" w:rsidRDefault="00162F58" w:rsidP="00162F58">
      <w:pPr>
        <w:pStyle w:val="Prrafodelista"/>
        <w:numPr>
          <w:ilvl w:val="0"/>
          <w:numId w:val="1"/>
        </w:numPr>
        <w:spacing w:after="0"/>
        <w:ind w:left="709" w:firstLine="0"/>
        <w:jc w:val="both"/>
        <w:rPr>
          <w:rFonts w:eastAsia="Calibri" w:cs="Times New Roman"/>
          <w:sz w:val="24"/>
          <w:szCs w:val="32"/>
        </w:rPr>
      </w:pPr>
      <w:r>
        <w:rPr>
          <w:rFonts w:eastAsia="Calibri" w:cs="Times New Roman"/>
          <w:sz w:val="24"/>
          <w:szCs w:val="32"/>
        </w:rPr>
        <w:t xml:space="preserve">Escalas cuantitativas: determinación numérica del nivel de la enfermedad en un determinado órgano de la planta; ejemplo escala de severidad para las </w:t>
      </w:r>
      <w:r w:rsidRPr="00FE2F4E">
        <w:rPr>
          <w:rFonts w:eastAsia="Calibri" w:cs="Times New Roman"/>
          <w:sz w:val="24"/>
          <w:szCs w:val="32"/>
        </w:rPr>
        <w:t>enfermedades foliares (0%, 10%, 20% de síntomas en hoja).</w:t>
      </w:r>
    </w:p>
    <w:p w:rsidR="00162F58" w:rsidRDefault="00162F58" w:rsidP="00162F58">
      <w:pPr>
        <w:pStyle w:val="Prrafodelista"/>
        <w:numPr>
          <w:ilvl w:val="0"/>
          <w:numId w:val="1"/>
        </w:numPr>
        <w:spacing w:after="0"/>
        <w:ind w:left="709" w:firstLine="0"/>
        <w:jc w:val="both"/>
        <w:rPr>
          <w:rFonts w:eastAsia="Calibri" w:cs="Times New Roman"/>
          <w:sz w:val="24"/>
          <w:szCs w:val="32"/>
        </w:rPr>
      </w:pPr>
      <w:r>
        <w:rPr>
          <w:rFonts w:eastAsia="Calibri" w:cs="Times New Roman"/>
          <w:sz w:val="24"/>
          <w:szCs w:val="32"/>
        </w:rPr>
        <w:t>Escalas cualitativas: utilizadas para trabajos de mejoramiento; ejemplo: reacción líneas diferenciales de soja a la roya de la hoja (color de la lesión rojo: resistente).</w:t>
      </w:r>
    </w:p>
    <w:p w:rsidR="00162F58" w:rsidRPr="008108E6" w:rsidRDefault="00162F58" w:rsidP="00162F58">
      <w:pPr>
        <w:pStyle w:val="Prrafodelista"/>
        <w:numPr>
          <w:ilvl w:val="0"/>
          <w:numId w:val="1"/>
        </w:numPr>
        <w:spacing w:after="0"/>
        <w:ind w:hanging="11"/>
        <w:jc w:val="both"/>
        <w:rPr>
          <w:rFonts w:eastAsia="Calibri" w:cs="Times New Roman"/>
          <w:sz w:val="24"/>
          <w:szCs w:val="32"/>
        </w:rPr>
      </w:pPr>
      <w:r>
        <w:rPr>
          <w:rFonts w:eastAsia="Calibri" w:cs="Times New Roman"/>
          <w:sz w:val="24"/>
          <w:szCs w:val="32"/>
        </w:rPr>
        <w:t>Las escalas no deberían tener más de cuatro o cinco categorías para poder diferenciar claramente lo que se pretende evaluar con ellas.</w:t>
      </w:r>
    </w:p>
    <w:p w:rsidR="00162F58" w:rsidRDefault="00162F58" w:rsidP="00162F58">
      <w:pPr>
        <w:pStyle w:val="Prrafodelista"/>
        <w:numPr>
          <w:ilvl w:val="0"/>
          <w:numId w:val="2"/>
        </w:numPr>
        <w:spacing w:after="0"/>
        <w:jc w:val="both"/>
        <w:rPr>
          <w:rFonts w:eastAsia="Calibri" w:cs="Times New Roman"/>
          <w:sz w:val="24"/>
          <w:szCs w:val="32"/>
        </w:rPr>
      </w:pPr>
      <w:r>
        <w:rPr>
          <w:rFonts w:eastAsia="Calibri" w:cs="Times New Roman"/>
          <w:sz w:val="24"/>
          <w:szCs w:val="32"/>
        </w:rPr>
        <w:t xml:space="preserve">Métodos indirectos: Se refiere al proceso de adquisición de la información de un objeto a la distancia, sin contacto físico con el objeto, por medio de sensores remotos. Ejemplos: fotografía aérea en infrarrojo, análisis de imágenes, termometría diferencial infrarroja, recuento de esporas </w:t>
      </w:r>
    </w:p>
    <w:p w:rsidR="00162F58" w:rsidRPr="00DE1B57" w:rsidRDefault="00162F58" w:rsidP="00162F58">
      <w:pPr>
        <w:pStyle w:val="Prrafodelista"/>
        <w:numPr>
          <w:ilvl w:val="0"/>
          <w:numId w:val="2"/>
        </w:numPr>
        <w:spacing w:after="0"/>
        <w:jc w:val="both"/>
        <w:rPr>
          <w:rFonts w:eastAsia="Calibri" w:cs="Times New Roman"/>
          <w:sz w:val="24"/>
          <w:szCs w:val="32"/>
        </w:rPr>
      </w:pPr>
      <w:r>
        <w:rPr>
          <w:rFonts w:eastAsia="Calibri" w:cs="Times New Roman"/>
          <w:sz w:val="24"/>
          <w:szCs w:val="32"/>
        </w:rPr>
        <w:t xml:space="preserve">Métodos serológicos: </w:t>
      </w:r>
      <w:r w:rsidRPr="00DE1B57">
        <w:rPr>
          <w:rFonts w:eastAsia="Calibri" w:cs="Times New Roman"/>
          <w:sz w:val="24"/>
          <w:szCs w:val="32"/>
        </w:rPr>
        <w:t xml:space="preserve">La reacción antígeno-anticuerpo es la base del </w:t>
      </w:r>
      <w:proofErr w:type="spellStart"/>
      <w:r w:rsidRPr="00DE1B57">
        <w:rPr>
          <w:rFonts w:eastAsia="Calibri" w:cs="Times New Roman"/>
          <w:sz w:val="24"/>
          <w:szCs w:val="32"/>
        </w:rPr>
        <w:t>inmunodiagnóstico</w:t>
      </w:r>
      <w:proofErr w:type="spellEnd"/>
      <w:r w:rsidRPr="00DE1B57">
        <w:rPr>
          <w:rFonts w:eastAsia="Calibri" w:cs="Times New Roman"/>
          <w:sz w:val="24"/>
          <w:szCs w:val="32"/>
        </w:rPr>
        <w:t xml:space="preserve">. En la </w:t>
      </w:r>
      <w:r w:rsidRPr="00162F58">
        <w:rPr>
          <w:rFonts w:eastAsia="Calibri" w:cs="Times New Roman"/>
          <w:sz w:val="24"/>
          <w:szCs w:val="32"/>
        </w:rPr>
        <w:t>Fitopatología</w:t>
      </w:r>
      <w:r w:rsidRPr="00DE1B57">
        <w:rPr>
          <w:rFonts w:eastAsia="Calibri" w:cs="Times New Roman"/>
          <w:sz w:val="24"/>
          <w:szCs w:val="32"/>
        </w:rPr>
        <w:t>, estas</w:t>
      </w:r>
      <w:r>
        <w:rPr>
          <w:rFonts w:eastAsia="Calibri" w:cs="Times New Roman"/>
          <w:sz w:val="24"/>
          <w:szCs w:val="32"/>
        </w:rPr>
        <w:t xml:space="preserve"> </w:t>
      </w:r>
      <w:r w:rsidRPr="00DE1B57">
        <w:rPr>
          <w:rFonts w:eastAsia="Calibri" w:cs="Times New Roman"/>
          <w:sz w:val="24"/>
          <w:szCs w:val="32"/>
        </w:rPr>
        <w:t>técnicas ofrecen considerables posibilidades y ventajas para diagnosticar la causa de una</w:t>
      </w:r>
      <w:r>
        <w:rPr>
          <w:rFonts w:eastAsia="Calibri" w:cs="Times New Roman"/>
          <w:sz w:val="24"/>
          <w:szCs w:val="32"/>
        </w:rPr>
        <w:t xml:space="preserve"> </w:t>
      </w:r>
      <w:r w:rsidRPr="00DE1B57">
        <w:rPr>
          <w:rFonts w:eastAsia="Calibri" w:cs="Times New Roman"/>
          <w:sz w:val="24"/>
          <w:szCs w:val="32"/>
        </w:rPr>
        <w:t xml:space="preserve">enfermedad, así como identificar y caracterizar los </w:t>
      </w:r>
      <w:proofErr w:type="spellStart"/>
      <w:r w:rsidRPr="00DE1B57">
        <w:rPr>
          <w:rFonts w:eastAsia="Calibri" w:cs="Times New Roman"/>
          <w:sz w:val="24"/>
          <w:szCs w:val="32"/>
        </w:rPr>
        <w:t>fitopatógenos</w:t>
      </w:r>
      <w:proofErr w:type="spellEnd"/>
      <w:r w:rsidRPr="00DE1B57">
        <w:rPr>
          <w:rFonts w:eastAsia="Calibri" w:cs="Times New Roman"/>
          <w:sz w:val="24"/>
          <w:szCs w:val="32"/>
        </w:rPr>
        <w:t>. Para ello se realiza la</w:t>
      </w:r>
      <w:r>
        <w:rPr>
          <w:rFonts w:eastAsia="Calibri" w:cs="Times New Roman"/>
          <w:sz w:val="24"/>
          <w:szCs w:val="32"/>
        </w:rPr>
        <w:t xml:space="preserve"> </w:t>
      </w:r>
      <w:r w:rsidRPr="00DE1B57">
        <w:rPr>
          <w:rFonts w:eastAsia="Calibri" w:cs="Times New Roman"/>
          <w:sz w:val="24"/>
          <w:szCs w:val="32"/>
        </w:rPr>
        <w:t>detección de antígenos, estructurales o no, presentes en estos patógenos.</w:t>
      </w:r>
      <w:r>
        <w:rPr>
          <w:rFonts w:eastAsia="Calibri" w:cs="Times New Roman"/>
          <w:sz w:val="24"/>
          <w:szCs w:val="32"/>
        </w:rPr>
        <w:t xml:space="preserve"> Ejemplos: Test ELISA, análisis químico, etc.</w:t>
      </w:r>
    </w:p>
    <w:p w:rsidR="00530BA7" w:rsidRDefault="00530BA7" w:rsidP="003901B8">
      <w:pPr>
        <w:spacing w:after="0"/>
        <w:jc w:val="both"/>
        <w:rPr>
          <w:rFonts w:eastAsia="Calibri" w:cs="Times New Roman"/>
          <w:sz w:val="24"/>
          <w:szCs w:val="32"/>
        </w:rPr>
      </w:pPr>
    </w:p>
    <w:p w:rsidR="00162F58" w:rsidRPr="00162F58" w:rsidRDefault="003901B8" w:rsidP="00162F58">
      <w:pPr>
        <w:spacing w:after="0"/>
        <w:jc w:val="both"/>
        <w:rPr>
          <w:rFonts w:eastAsia="Calibri" w:cs="Times New Roman"/>
          <w:sz w:val="24"/>
          <w:szCs w:val="32"/>
        </w:rPr>
      </w:pPr>
      <w:r>
        <w:rPr>
          <w:rFonts w:eastAsia="Calibri" w:cs="Times New Roman"/>
          <w:sz w:val="24"/>
          <w:szCs w:val="32"/>
        </w:rPr>
        <w:tab/>
      </w:r>
      <w:r w:rsidRPr="00530BA7">
        <w:rPr>
          <w:rFonts w:eastAsia="Calibri" w:cs="Times New Roman"/>
          <w:b/>
          <w:sz w:val="24"/>
          <w:szCs w:val="32"/>
        </w:rPr>
        <w:t>INCIDENCIA:</w:t>
      </w:r>
      <w:r>
        <w:rPr>
          <w:rFonts w:eastAsia="Calibri" w:cs="Times New Roman"/>
          <w:sz w:val="24"/>
          <w:szCs w:val="32"/>
        </w:rPr>
        <w:t xml:space="preserve"> </w:t>
      </w:r>
      <w:r w:rsidRPr="004F7EB7">
        <w:rPr>
          <w:rFonts w:eastAsia="Calibri" w:cs="Times New Roman"/>
          <w:sz w:val="24"/>
          <w:szCs w:val="32"/>
        </w:rPr>
        <w:t xml:space="preserve">Es el porcentaje o proporción de individuos enfermos en relación al total. </w:t>
      </w:r>
      <w:r w:rsidR="00162F58">
        <w:rPr>
          <w:rFonts w:eastAsia="Calibri" w:cs="Times New Roman"/>
          <w:sz w:val="24"/>
          <w:szCs w:val="32"/>
        </w:rPr>
        <w:t>L</w:t>
      </w:r>
      <w:r w:rsidR="00162F58" w:rsidRPr="00162F58">
        <w:rPr>
          <w:rFonts w:eastAsia="Calibri" w:cs="Times New Roman"/>
          <w:sz w:val="24"/>
          <w:szCs w:val="32"/>
        </w:rPr>
        <w:t xml:space="preserve">a incidencia se utiliza para evaluar enfermedades donde se afecta la unidad entera (por ejemplo para enfermedades de </w:t>
      </w:r>
      <w:proofErr w:type="spellStart"/>
      <w:r w:rsidR="00162F58" w:rsidRPr="00162F58">
        <w:rPr>
          <w:rFonts w:eastAsia="Calibri" w:cs="Times New Roman"/>
          <w:sz w:val="24"/>
          <w:szCs w:val="32"/>
        </w:rPr>
        <w:t>raiz</w:t>
      </w:r>
      <w:proofErr w:type="spellEnd"/>
      <w:r w:rsidR="00162F58" w:rsidRPr="00162F58">
        <w:rPr>
          <w:rFonts w:eastAsia="Calibri" w:cs="Times New Roman"/>
          <w:sz w:val="24"/>
          <w:szCs w:val="32"/>
        </w:rPr>
        <w:t xml:space="preserve"> y tallo donde la planta muere)</w:t>
      </w:r>
      <w:r w:rsidR="00162F58">
        <w:rPr>
          <w:rFonts w:eastAsia="Calibri" w:cs="Times New Roman"/>
          <w:sz w:val="24"/>
          <w:szCs w:val="32"/>
        </w:rPr>
        <w:t>. E</w:t>
      </w:r>
      <w:r w:rsidR="00162F58" w:rsidRPr="00162F58">
        <w:rPr>
          <w:rFonts w:eastAsia="Calibri" w:cs="Times New Roman"/>
          <w:sz w:val="24"/>
          <w:szCs w:val="32"/>
        </w:rPr>
        <w:t>xiste una relación casi directa entre los valores de incidencia y las pérdidas de rendimiento.</w:t>
      </w:r>
      <w:r w:rsidR="00162F58">
        <w:rPr>
          <w:rFonts w:eastAsia="Calibri" w:cs="Times New Roman"/>
          <w:sz w:val="24"/>
          <w:szCs w:val="32"/>
        </w:rPr>
        <w:t xml:space="preserve"> E</w:t>
      </w:r>
      <w:r w:rsidR="00162F58" w:rsidRPr="00162F58">
        <w:rPr>
          <w:rFonts w:eastAsia="Calibri" w:cs="Times New Roman"/>
          <w:sz w:val="24"/>
          <w:szCs w:val="32"/>
        </w:rPr>
        <w:t xml:space="preserve">n general no se mide la incidencia para enfermedades foliares porque estas se presentan en forma uniforme en todo un lote </w:t>
      </w:r>
      <w:r w:rsidR="00162F58">
        <w:rPr>
          <w:rFonts w:eastAsia="Calibri" w:cs="Times New Roman"/>
          <w:sz w:val="24"/>
          <w:szCs w:val="32"/>
        </w:rPr>
        <w:t>(con valores cercanos al 100%).</w:t>
      </w:r>
    </w:p>
    <w:p w:rsidR="003901B8" w:rsidRDefault="00162F58" w:rsidP="003901B8">
      <w:pPr>
        <w:spacing w:after="0"/>
        <w:jc w:val="both"/>
        <w:rPr>
          <w:rFonts w:eastAsia="Calibri" w:cs="Times New Roman"/>
          <w:sz w:val="24"/>
          <w:szCs w:val="32"/>
        </w:rPr>
      </w:pPr>
      <w:r>
        <w:rPr>
          <w:rFonts w:eastAsia="Calibri" w:cs="Times New Roman"/>
          <w:sz w:val="24"/>
          <w:szCs w:val="32"/>
        </w:rPr>
        <w:lastRenderedPageBreak/>
        <w:tab/>
      </w:r>
      <w:r w:rsidR="003901B8" w:rsidRPr="004F7EB7">
        <w:rPr>
          <w:rFonts w:eastAsia="Calibri" w:cs="Times New Roman"/>
          <w:sz w:val="24"/>
          <w:szCs w:val="32"/>
        </w:rPr>
        <w:t>No se determinan niveles de en</w:t>
      </w:r>
      <w:r w:rsidR="003901B8">
        <w:rPr>
          <w:rFonts w:eastAsia="Calibri" w:cs="Times New Roman"/>
          <w:sz w:val="24"/>
          <w:szCs w:val="32"/>
        </w:rPr>
        <w:t xml:space="preserve">fermedad. </w:t>
      </w:r>
      <w:r w:rsidR="003901B8" w:rsidRPr="004F7EB7">
        <w:rPr>
          <w:rFonts w:eastAsia="Calibri" w:cs="Times New Roman"/>
          <w:sz w:val="24"/>
          <w:szCs w:val="32"/>
        </w:rPr>
        <w:t xml:space="preserve">El uso de este parámetro en el cultivo es particularmente útil para estudiar la velocidad y patrón de avance de las enfermedades. Es un parámetro objetivo, de cálculo sencillo, y no se necesita un entrenamiento especial de parte del evaluador para su empleo. </w:t>
      </w:r>
    </w:p>
    <w:p w:rsidR="00530BA7" w:rsidRDefault="00530BA7" w:rsidP="003901B8">
      <w:pPr>
        <w:spacing w:after="0"/>
        <w:jc w:val="both"/>
        <w:rPr>
          <w:rFonts w:eastAsia="Calibri" w:cs="Times New Roman"/>
          <w:sz w:val="24"/>
          <w:szCs w:val="32"/>
        </w:rPr>
      </w:pPr>
    </w:p>
    <w:p w:rsidR="003901B8" w:rsidRPr="00530BA7" w:rsidRDefault="003901B8" w:rsidP="003901B8">
      <w:pPr>
        <w:spacing w:after="0"/>
        <w:jc w:val="center"/>
        <w:rPr>
          <w:rFonts w:eastAsia="Calibri" w:cs="Times New Roman"/>
          <w:b/>
          <w:sz w:val="24"/>
          <w:szCs w:val="32"/>
        </w:rPr>
      </w:pPr>
      <w:r w:rsidRPr="00530BA7">
        <w:rPr>
          <w:rFonts w:eastAsia="Calibri" w:cs="Times New Roman"/>
          <w:b/>
          <w:sz w:val="24"/>
          <w:szCs w:val="32"/>
        </w:rPr>
        <w:t>INCIDENCIA (l): (nº de plantas enfermas* total de plantas (sanas +enfermas)</w:t>
      </w:r>
      <w:r w:rsidRPr="00530BA7">
        <w:rPr>
          <w:rFonts w:eastAsia="Calibri" w:cs="Times New Roman"/>
          <w:b/>
          <w:sz w:val="24"/>
          <w:szCs w:val="32"/>
          <w:vertAlign w:val="superscript"/>
        </w:rPr>
        <w:t>-1</w:t>
      </w:r>
      <w:r w:rsidRPr="00530BA7">
        <w:rPr>
          <w:rFonts w:eastAsia="Calibri" w:cs="Times New Roman"/>
          <w:b/>
          <w:sz w:val="24"/>
          <w:szCs w:val="32"/>
        </w:rPr>
        <w:t>)* 100</w:t>
      </w:r>
    </w:p>
    <w:p w:rsidR="003901B8" w:rsidRDefault="003901B8" w:rsidP="003901B8">
      <w:pPr>
        <w:spacing w:after="0"/>
        <w:jc w:val="both"/>
        <w:rPr>
          <w:rFonts w:eastAsia="Calibri" w:cs="Times New Roman"/>
          <w:sz w:val="24"/>
          <w:szCs w:val="32"/>
        </w:rPr>
      </w:pPr>
    </w:p>
    <w:p w:rsidR="003901B8" w:rsidRPr="004F7EB7" w:rsidRDefault="003901B8" w:rsidP="003901B8">
      <w:pPr>
        <w:spacing w:after="0"/>
        <w:jc w:val="both"/>
        <w:rPr>
          <w:rFonts w:eastAsia="Calibri" w:cs="Times New Roman"/>
          <w:sz w:val="24"/>
          <w:szCs w:val="32"/>
        </w:rPr>
      </w:pPr>
      <w:r>
        <w:rPr>
          <w:rFonts w:eastAsia="Calibri" w:cs="Times New Roman"/>
          <w:sz w:val="24"/>
          <w:szCs w:val="32"/>
        </w:rPr>
        <w:tab/>
      </w:r>
      <w:r w:rsidRPr="00530BA7">
        <w:rPr>
          <w:rFonts w:eastAsia="Calibri" w:cs="Times New Roman"/>
          <w:b/>
          <w:sz w:val="24"/>
          <w:szCs w:val="32"/>
        </w:rPr>
        <w:t>SEVERIDAD:</w:t>
      </w:r>
      <w:r>
        <w:rPr>
          <w:rFonts w:eastAsia="Calibri" w:cs="Times New Roman"/>
          <w:sz w:val="24"/>
          <w:szCs w:val="32"/>
        </w:rPr>
        <w:t xml:space="preserve"> </w:t>
      </w:r>
      <w:r w:rsidRPr="004F7EB7">
        <w:rPr>
          <w:rFonts w:eastAsia="Calibri" w:cs="Times New Roman"/>
          <w:sz w:val="24"/>
          <w:szCs w:val="32"/>
        </w:rPr>
        <w:t>Es el porcentaje de la superficie del órgano enfermo, ya sea de hojas, tallos, raíces o frutos afectado por la enfermedad y varía entre 0 y 100. El ejemplo típico de esta forma de estimar la enfermedad es el que se realiza con r</w:t>
      </w:r>
      <w:r>
        <w:rPr>
          <w:rFonts w:eastAsia="Calibri" w:cs="Times New Roman"/>
          <w:sz w:val="24"/>
          <w:szCs w:val="32"/>
        </w:rPr>
        <w:t xml:space="preserve">especto a las manchas foliares. </w:t>
      </w:r>
      <w:r w:rsidRPr="004F7EB7">
        <w:rPr>
          <w:rFonts w:eastAsia="Calibri" w:cs="Times New Roman"/>
          <w:sz w:val="24"/>
          <w:szCs w:val="32"/>
        </w:rPr>
        <w:t>La severidad es un parámetro que refleja con precisión la relación de la enfermedad con el daño que le provoca al cultivo. Su evaluación es más compleja que la determinación de la incidencia, porque pude ser subjetiva y por lo tanto requiere de un entrenamiento previo por parte del evaluador.</w:t>
      </w:r>
      <w:r w:rsidR="00162F58">
        <w:rPr>
          <w:rFonts w:eastAsia="Calibri" w:cs="Times New Roman"/>
          <w:sz w:val="24"/>
          <w:szCs w:val="32"/>
        </w:rPr>
        <w:t xml:space="preserve"> El uso de escalas para este parámetro es muy importante (ejemplo escala de mancha marrón).</w:t>
      </w:r>
    </w:p>
    <w:p w:rsidR="00162F58" w:rsidRPr="004119AB" w:rsidRDefault="00162F58" w:rsidP="003901B8">
      <w:pPr>
        <w:spacing w:after="0"/>
        <w:jc w:val="both"/>
        <w:rPr>
          <w:rFonts w:eastAsia="Calibri" w:cs="Times New Roman"/>
          <w:color w:val="FF0000"/>
          <w:sz w:val="24"/>
          <w:szCs w:val="32"/>
        </w:rPr>
      </w:pPr>
    </w:p>
    <w:p w:rsidR="003901B8" w:rsidRPr="00530BA7" w:rsidRDefault="003901B8" w:rsidP="003901B8">
      <w:pPr>
        <w:spacing w:after="0"/>
        <w:jc w:val="center"/>
        <w:rPr>
          <w:rFonts w:eastAsia="Calibri" w:cs="Times New Roman"/>
          <w:b/>
          <w:sz w:val="24"/>
          <w:szCs w:val="32"/>
        </w:rPr>
      </w:pPr>
      <w:r w:rsidRPr="00530BA7">
        <w:rPr>
          <w:rFonts w:eastAsia="Calibri" w:cs="Times New Roman"/>
          <w:b/>
          <w:sz w:val="24"/>
          <w:szCs w:val="32"/>
        </w:rPr>
        <w:t>SEVERIDAD (S): (área de tejido enfermo*área total (sano + enfermo)</w:t>
      </w:r>
      <w:r w:rsidRPr="00530BA7">
        <w:rPr>
          <w:rFonts w:eastAsia="Calibri" w:cs="Times New Roman"/>
          <w:b/>
          <w:sz w:val="24"/>
          <w:szCs w:val="32"/>
          <w:vertAlign w:val="superscript"/>
        </w:rPr>
        <w:t>-1</w:t>
      </w:r>
      <w:r w:rsidRPr="00530BA7">
        <w:rPr>
          <w:rFonts w:eastAsia="Calibri" w:cs="Times New Roman"/>
          <w:b/>
          <w:sz w:val="24"/>
          <w:szCs w:val="32"/>
        </w:rPr>
        <w:t>)*100</w:t>
      </w:r>
    </w:p>
    <w:p w:rsidR="003901B8" w:rsidRPr="004F7EB7" w:rsidRDefault="003901B8" w:rsidP="003901B8">
      <w:pPr>
        <w:spacing w:after="0"/>
        <w:jc w:val="center"/>
        <w:rPr>
          <w:rFonts w:eastAsia="Calibri" w:cs="Times New Roman"/>
          <w:sz w:val="24"/>
          <w:szCs w:val="32"/>
        </w:rPr>
      </w:pPr>
    </w:p>
    <w:p w:rsidR="003901B8" w:rsidRPr="00DE1B57" w:rsidRDefault="00162F58" w:rsidP="00162F58">
      <w:pPr>
        <w:spacing w:after="0"/>
        <w:jc w:val="center"/>
        <w:rPr>
          <w:rFonts w:eastAsia="Calibri" w:cs="Times New Roman"/>
          <w:sz w:val="24"/>
          <w:szCs w:val="32"/>
        </w:rPr>
      </w:pPr>
      <w:r>
        <w:rPr>
          <w:rFonts w:eastAsia="Calibri" w:cs="Times New Roman"/>
          <w:noProof/>
          <w:sz w:val="24"/>
          <w:szCs w:val="32"/>
          <w:lang w:eastAsia="es-AR"/>
        </w:rPr>
        <w:drawing>
          <wp:inline distT="0" distB="0" distL="0" distR="0" wp14:anchorId="38F8C3E2" wp14:editId="3A7F904B">
            <wp:extent cx="4339276" cy="3063834"/>
            <wp:effectExtent l="0" t="0" r="444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43396" cy="3066743"/>
                    </a:xfrm>
                    <a:prstGeom prst="rect">
                      <a:avLst/>
                    </a:prstGeom>
                    <a:noFill/>
                    <a:ln>
                      <a:noFill/>
                    </a:ln>
                  </pic:spPr>
                </pic:pic>
              </a:graphicData>
            </a:graphic>
          </wp:inline>
        </w:drawing>
      </w:r>
    </w:p>
    <w:p w:rsidR="003901B8" w:rsidRDefault="003901B8" w:rsidP="003901B8">
      <w:pPr>
        <w:spacing w:after="0"/>
        <w:jc w:val="both"/>
        <w:rPr>
          <w:rFonts w:eastAsia="Calibri" w:cs="Times New Roman"/>
          <w:sz w:val="24"/>
          <w:szCs w:val="32"/>
        </w:rPr>
      </w:pPr>
    </w:p>
    <w:p w:rsidR="00162F58" w:rsidRDefault="00162F58" w:rsidP="003901B8">
      <w:pPr>
        <w:spacing w:after="0"/>
        <w:jc w:val="both"/>
        <w:rPr>
          <w:rFonts w:eastAsia="Calibri" w:cs="Times New Roman"/>
          <w:sz w:val="24"/>
          <w:szCs w:val="32"/>
        </w:rPr>
      </w:pPr>
    </w:p>
    <w:p w:rsidR="00BD7349" w:rsidRDefault="00BD7349" w:rsidP="003901B8">
      <w:pPr>
        <w:spacing w:after="0"/>
        <w:jc w:val="both"/>
        <w:rPr>
          <w:rFonts w:eastAsia="Calibri" w:cs="Times New Roman"/>
          <w:b/>
          <w:sz w:val="24"/>
          <w:szCs w:val="32"/>
        </w:rPr>
      </w:pPr>
    </w:p>
    <w:p w:rsidR="00BD7349" w:rsidRDefault="00BD7349" w:rsidP="003901B8">
      <w:pPr>
        <w:spacing w:after="0"/>
        <w:jc w:val="both"/>
        <w:rPr>
          <w:rFonts w:eastAsia="Calibri" w:cs="Times New Roman"/>
          <w:b/>
          <w:sz w:val="24"/>
          <w:szCs w:val="32"/>
        </w:rPr>
      </w:pPr>
    </w:p>
    <w:p w:rsidR="00BD7349" w:rsidRDefault="00BD7349" w:rsidP="003901B8">
      <w:pPr>
        <w:spacing w:after="0"/>
        <w:jc w:val="both"/>
        <w:rPr>
          <w:rFonts w:eastAsia="Calibri" w:cs="Times New Roman"/>
          <w:b/>
          <w:sz w:val="24"/>
          <w:szCs w:val="32"/>
        </w:rPr>
      </w:pPr>
    </w:p>
    <w:p w:rsidR="00BD7349" w:rsidRDefault="00BD7349" w:rsidP="003901B8">
      <w:pPr>
        <w:spacing w:after="0"/>
        <w:jc w:val="both"/>
        <w:rPr>
          <w:rFonts w:eastAsia="Calibri" w:cs="Times New Roman"/>
          <w:b/>
          <w:sz w:val="24"/>
          <w:szCs w:val="32"/>
        </w:rPr>
      </w:pPr>
    </w:p>
    <w:p w:rsidR="003901B8" w:rsidRPr="004119AB" w:rsidRDefault="003901B8" w:rsidP="003901B8">
      <w:pPr>
        <w:spacing w:after="0"/>
        <w:jc w:val="both"/>
        <w:rPr>
          <w:rFonts w:eastAsia="Calibri" w:cs="Times New Roman"/>
          <w:b/>
          <w:sz w:val="24"/>
          <w:szCs w:val="32"/>
        </w:rPr>
      </w:pPr>
      <w:r w:rsidRPr="004119AB">
        <w:rPr>
          <w:rFonts w:eastAsia="Calibri" w:cs="Times New Roman"/>
          <w:b/>
          <w:sz w:val="24"/>
          <w:szCs w:val="32"/>
        </w:rPr>
        <w:lastRenderedPageBreak/>
        <w:t>MÉTODOS PARA RELEVAR NIVELES DE ENFERMEDAD CON PÉRDIDAS DE RENDIMIENTO.</w:t>
      </w:r>
    </w:p>
    <w:p w:rsidR="003901B8" w:rsidRDefault="003901B8" w:rsidP="003901B8">
      <w:pPr>
        <w:spacing w:after="0"/>
        <w:jc w:val="both"/>
        <w:rPr>
          <w:rFonts w:eastAsia="Calibri" w:cs="Times New Roman"/>
          <w:sz w:val="24"/>
          <w:szCs w:val="32"/>
        </w:rPr>
      </w:pPr>
    </w:p>
    <w:p w:rsidR="003901B8" w:rsidRDefault="003901B8" w:rsidP="003901B8">
      <w:pPr>
        <w:spacing w:after="0"/>
        <w:jc w:val="both"/>
        <w:rPr>
          <w:rFonts w:eastAsia="Calibri" w:cs="Times New Roman"/>
          <w:sz w:val="24"/>
          <w:szCs w:val="32"/>
        </w:rPr>
      </w:pPr>
      <w:r>
        <w:rPr>
          <w:rFonts w:eastAsia="Calibri" w:cs="Times New Roman"/>
          <w:sz w:val="24"/>
          <w:szCs w:val="32"/>
        </w:rPr>
        <w:tab/>
        <w:t xml:space="preserve">Determinación del área bajo la curva de progreso de la enfermedad (ABCPE): Es una técnica de análisis </w:t>
      </w:r>
      <w:r w:rsidR="004119AB">
        <w:rPr>
          <w:rFonts w:eastAsia="Calibri" w:cs="Times New Roman"/>
          <w:sz w:val="24"/>
          <w:szCs w:val="32"/>
        </w:rPr>
        <w:t xml:space="preserve">recomendada </w:t>
      </w:r>
      <w:r>
        <w:rPr>
          <w:rFonts w:eastAsia="Calibri" w:cs="Times New Roman"/>
          <w:sz w:val="24"/>
          <w:szCs w:val="32"/>
        </w:rPr>
        <w:t xml:space="preserve">cuando se requiere identificar las relaciones del progreso de la enfermedad y el período de duración del área foliar, respecto al impacto sobre el rendimiento. Este método de </w:t>
      </w:r>
      <w:r w:rsidRPr="00162F58">
        <w:rPr>
          <w:rFonts w:eastAsia="Calibri" w:cs="Times New Roman"/>
          <w:sz w:val="24"/>
          <w:szCs w:val="32"/>
        </w:rPr>
        <w:t xml:space="preserve">análisis </w:t>
      </w:r>
      <w:proofErr w:type="spellStart"/>
      <w:r w:rsidRPr="00162F58">
        <w:rPr>
          <w:rFonts w:eastAsia="Calibri" w:cs="Times New Roman"/>
          <w:sz w:val="24"/>
          <w:szCs w:val="32"/>
        </w:rPr>
        <w:t>epi</w:t>
      </w:r>
      <w:r w:rsidR="004119AB" w:rsidRPr="00162F58">
        <w:rPr>
          <w:rFonts w:eastAsia="Calibri" w:cs="Times New Roman"/>
          <w:sz w:val="24"/>
          <w:szCs w:val="32"/>
        </w:rPr>
        <w:t>fiti</w:t>
      </w:r>
      <w:r w:rsidRPr="00162F58">
        <w:rPr>
          <w:rFonts w:eastAsia="Calibri" w:cs="Times New Roman"/>
          <w:sz w:val="24"/>
          <w:szCs w:val="32"/>
        </w:rPr>
        <w:t>ológico</w:t>
      </w:r>
      <w:proofErr w:type="spellEnd"/>
      <w:r w:rsidRPr="00162F58">
        <w:rPr>
          <w:rFonts w:eastAsia="Calibri" w:cs="Times New Roman"/>
          <w:sz w:val="24"/>
          <w:szCs w:val="32"/>
        </w:rPr>
        <w:t xml:space="preserve"> </w:t>
      </w:r>
      <w:r>
        <w:rPr>
          <w:rFonts w:eastAsia="Calibri" w:cs="Times New Roman"/>
          <w:sz w:val="24"/>
          <w:szCs w:val="32"/>
        </w:rPr>
        <w:t xml:space="preserve">no necesita tipo de ajuste a modelos predeterminados y, por ende, no requiere de consecuentes transformaciones de valores que puedan enmascarar o confundir posibles efectos de tratamiento. Sin embargo, valores bajos de la enfermedad, durante el período monitoreado, tienen poco efecto sobre el ABCPE. </w:t>
      </w:r>
    </w:p>
    <w:p w:rsidR="003901B8" w:rsidRDefault="003901B8" w:rsidP="003901B8">
      <w:pPr>
        <w:spacing w:after="0"/>
        <w:jc w:val="both"/>
        <w:rPr>
          <w:rFonts w:eastAsia="Calibri" w:cs="Times New Roman"/>
          <w:sz w:val="24"/>
          <w:szCs w:val="32"/>
        </w:rPr>
      </w:pPr>
      <w:r>
        <w:rPr>
          <w:rFonts w:eastAsia="Calibri" w:cs="Times New Roman"/>
          <w:sz w:val="24"/>
          <w:szCs w:val="32"/>
        </w:rPr>
        <w:tab/>
        <w:t>El ABCPE estabiliza la varianza de los valores porcentuales de la enfermedad dentro de  tratamientos, es posible detectar efectos de los mismos que podrían no detectarse por el análisis de tasas relativas de incremento de la enfermedad.</w:t>
      </w:r>
    </w:p>
    <w:p w:rsidR="003901B8" w:rsidRDefault="003901B8" w:rsidP="003901B8">
      <w:pPr>
        <w:spacing w:after="0"/>
        <w:jc w:val="both"/>
        <w:rPr>
          <w:rFonts w:eastAsia="Calibri" w:cs="Times New Roman"/>
          <w:sz w:val="24"/>
          <w:szCs w:val="32"/>
        </w:rPr>
      </w:pPr>
      <w:r>
        <w:rPr>
          <w:rFonts w:eastAsia="Calibri" w:cs="Times New Roman"/>
          <w:sz w:val="24"/>
          <w:szCs w:val="32"/>
        </w:rPr>
        <w:tab/>
        <w:t xml:space="preserve">Los resultados pueden ser más confiables donde que, al reducir la varianza, disminuye el coeficiente de variación, el cual por lo regular es alto en este tipo de </w:t>
      </w:r>
      <w:bookmarkStart w:id="0" w:name="_GoBack"/>
      <w:bookmarkEnd w:id="0"/>
      <w:r>
        <w:rPr>
          <w:rFonts w:eastAsia="Calibri" w:cs="Times New Roman"/>
          <w:sz w:val="24"/>
          <w:szCs w:val="32"/>
        </w:rPr>
        <w:t>estudios; incrementado la confiabilidad de las conclusiones derivadas de este tipo de estudios epidemiológicos.</w:t>
      </w:r>
    </w:p>
    <w:p w:rsidR="003901B8" w:rsidRDefault="003901B8" w:rsidP="003901B8">
      <w:pPr>
        <w:spacing w:after="0"/>
        <w:jc w:val="both"/>
        <w:rPr>
          <w:rFonts w:eastAsia="Calibri" w:cs="Times New Roman"/>
          <w:sz w:val="24"/>
          <w:szCs w:val="32"/>
        </w:rPr>
      </w:pPr>
      <w:r>
        <w:rPr>
          <w:rFonts w:eastAsia="Calibri" w:cs="Times New Roman"/>
          <w:sz w:val="24"/>
          <w:szCs w:val="32"/>
        </w:rPr>
        <w:tab/>
        <w:t xml:space="preserve">El ABCPE se calcula integrando los rectángulos formados por el punto medio de la intensidad de la enfermedad (incidencia o severidad) alcanzada entre diferentes tiempos en que se monitorea. </w:t>
      </w:r>
    </w:p>
    <w:p w:rsidR="003901B8" w:rsidRDefault="003901B8" w:rsidP="003901B8">
      <w:pPr>
        <w:spacing w:after="0"/>
        <w:jc w:val="both"/>
        <w:rPr>
          <w:rFonts w:eastAsia="Calibri" w:cs="Times New Roman"/>
          <w:sz w:val="24"/>
          <w:szCs w:val="32"/>
        </w:rPr>
      </w:pPr>
      <w:r>
        <w:rPr>
          <w:rFonts w:eastAsia="Calibri" w:cs="Times New Roman"/>
          <w:sz w:val="24"/>
          <w:szCs w:val="32"/>
        </w:rPr>
        <w:tab/>
        <w:t>Fórmula de ABCPE:</w:t>
      </w:r>
    </w:p>
    <w:p w:rsidR="003901B8" w:rsidRDefault="003901B8" w:rsidP="003901B8">
      <w:pPr>
        <w:spacing w:after="0"/>
        <w:jc w:val="center"/>
        <w:rPr>
          <w:rFonts w:eastAsia="Calibri" w:cs="Times New Roman"/>
          <w:sz w:val="24"/>
          <w:szCs w:val="32"/>
        </w:rPr>
      </w:pPr>
      <w:r>
        <w:rPr>
          <w:rFonts w:eastAsia="Calibri" w:cs="Times New Roman"/>
          <w:noProof/>
          <w:sz w:val="24"/>
          <w:szCs w:val="32"/>
          <w:lang w:eastAsia="es-AR"/>
        </w:rPr>
        <w:drawing>
          <wp:inline distT="0" distB="0" distL="0" distR="0" wp14:anchorId="6E7541A9" wp14:editId="2364E0F0">
            <wp:extent cx="1932305" cy="48514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1932305" cy="485140"/>
                    </a:xfrm>
                    <a:prstGeom prst="rect">
                      <a:avLst/>
                    </a:prstGeom>
                    <a:noFill/>
                    <a:ln>
                      <a:noFill/>
                    </a:ln>
                  </pic:spPr>
                </pic:pic>
              </a:graphicData>
            </a:graphic>
          </wp:inline>
        </w:drawing>
      </w:r>
    </w:p>
    <w:p w:rsidR="003901B8" w:rsidRDefault="003901B8" w:rsidP="003901B8">
      <w:pPr>
        <w:spacing w:after="0"/>
        <w:jc w:val="both"/>
        <w:rPr>
          <w:rFonts w:eastAsia="Calibri" w:cs="Times New Roman"/>
          <w:sz w:val="24"/>
          <w:szCs w:val="32"/>
        </w:rPr>
      </w:pPr>
      <w:r>
        <w:rPr>
          <w:rFonts w:eastAsia="Calibri" w:cs="Times New Roman"/>
          <w:sz w:val="24"/>
          <w:szCs w:val="32"/>
        </w:rPr>
        <w:tab/>
        <w:t xml:space="preserve">Donde </w:t>
      </w:r>
      <w:proofErr w:type="spellStart"/>
      <w:r>
        <w:rPr>
          <w:rFonts w:eastAsia="Calibri" w:cs="Times New Roman"/>
          <w:sz w:val="24"/>
          <w:szCs w:val="32"/>
        </w:rPr>
        <w:t>Y</w:t>
      </w:r>
      <w:r w:rsidRPr="0010396F">
        <w:rPr>
          <w:rFonts w:eastAsia="Calibri" w:cs="Times New Roman"/>
          <w:sz w:val="24"/>
          <w:szCs w:val="32"/>
          <w:vertAlign w:val="subscript"/>
        </w:rPr>
        <w:t>i</w:t>
      </w:r>
      <w:proofErr w:type="spellEnd"/>
      <w:r>
        <w:rPr>
          <w:rFonts w:eastAsia="Calibri" w:cs="Times New Roman"/>
          <w:sz w:val="24"/>
          <w:szCs w:val="32"/>
        </w:rPr>
        <w:t xml:space="preserve"> es la intensidad de la enfermedad y t es el período de evaluación en días después de la siembra o cualquier otra escala que se desee usar en función del tiempo. En este caso las unidades serán porcentaje (%) y días. Además, es bueno decir que este método de análisis epidémico considera la variación de la epidemia en el tiempo, para los análisis comparativos visuales que pudieran requerirse.</w:t>
      </w:r>
    </w:p>
    <w:p w:rsidR="003901B8" w:rsidRDefault="003901B8" w:rsidP="003901B8">
      <w:pPr>
        <w:spacing w:after="0"/>
        <w:jc w:val="center"/>
        <w:rPr>
          <w:rFonts w:eastAsia="Calibri" w:cs="Times New Roman"/>
          <w:sz w:val="24"/>
          <w:szCs w:val="32"/>
        </w:rPr>
      </w:pPr>
    </w:p>
    <w:sectPr w:rsidR="003901B8" w:rsidSect="00C137C6">
      <w:pgSz w:w="12240" w:h="15840" w:code="1"/>
      <w:pgMar w:top="1418" w:right="1134" w:bottom="1418"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41E34"/>
    <w:multiLevelType w:val="multilevel"/>
    <w:tmpl w:val="F32C5F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699A7C2A"/>
    <w:multiLevelType w:val="hybridMultilevel"/>
    <w:tmpl w:val="76E6C6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6CB22464"/>
    <w:multiLevelType w:val="hybridMultilevel"/>
    <w:tmpl w:val="30AA50F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E79"/>
    <w:rsid w:val="00162F58"/>
    <w:rsid w:val="001A4CA4"/>
    <w:rsid w:val="00216795"/>
    <w:rsid w:val="003901B8"/>
    <w:rsid w:val="003F1340"/>
    <w:rsid w:val="004119AB"/>
    <w:rsid w:val="00433DD4"/>
    <w:rsid w:val="00530BA7"/>
    <w:rsid w:val="00780208"/>
    <w:rsid w:val="00826CD7"/>
    <w:rsid w:val="00A01663"/>
    <w:rsid w:val="00AC2D12"/>
    <w:rsid w:val="00B40475"/>
    <w:rsid w:val="00BD7349"/>
    <w:rsid w:val="00C137C6"/>
    <w:rsid w:val="00F210B4"/>
    <w:rsid w:val="00FB6E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01B8"/>
    <w:pPr>
      <w:ind w:left="720"/>
      <w:contextualSpacing/>
    </w:pPr>
  </w:style>
  <w:style w:type="table" w:styleId="Tablaconcuadrcula">
    <w:name w:val="Table Grid"/>
    <w:basedOn w:val="Tablanormal"/>
    <w:uiPriority w:val="59"/>
    <w:rsid w:val="00390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901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1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01B8"/>
    <w:pPr>
      <w:ind w:left="720"/>
      <w:contextualSpacing/>
    </w:pPr>
  </w:style>
  <w:style w:type="table" w:styleId="Tablaconcuadrcula">
    <w:name w:val="Table Grid"/>
    <w:basedOn w:val="Tablanormal"/>
    <w:uiPriority w:val="59"/>
    <w:rsid w:val="00390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901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1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27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1096</Words>
  <Characters>6032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2016-05-11T01:41:00Z</cp:lastPrinted>
  <dcterms:created xsi:type="dcterms:W3CDTF">2016-11-07T16:43:00Z</dcterms:created>
  <dcterms:modified xsi:type="dcterms:W3CDTF">2016-11-07T16:46:00Z</dcterms:modified>
</cp:coreProperties>
</file>